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CB1" w14:textId="3ABC77BC" w:rsidR="00120904" w:rsidRPr="00E244BF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alidación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 xml:space="preserve">Lugar, </w:t>
      </w:r>
      <w:proofErr w:type="spellStart"/>
      <w:proofErr w:type="gramStart"/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día.mes.año</w:t>
      </w:r>
      <w:proofErr w:type="spellEnd"/>
      <w:proofErr w:type="gramEnd"/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3823"/>
        <w:gridCol w:w="5386"/>
      </w:tblGrid>
      <w:tr w:rsidR="001861EC" w:rsidRPr="009B74D2" w14:paraId="3AFD645E" w14:textId="77777777" w:rsidTr="00E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6E561B2B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Nombre del </w:t>
            </w:r>
            <w:r w:rsidR="009B74D2"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PMEC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2525401C" w:rsidR="00670B2A" w:rsidRPr="009A0E63" w:rsidRDefault="001861EC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</w:t>
            </w:r>
            <w:r w:rsidR="00F87225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nombre</w:t>
            </w: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completo del </w:t>
            </w:r>
            <w:r w:rsidR="009B74D2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681B8BE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21194605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nombre del titular 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5079EAC" w14:textId="77777777" w:rsidTr="00E409E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00E244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18A6CA93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la actividad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en el que se desarrolla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acuerdo con el Protocolo de</w:t>
            </w:r>
            <w:r w:rsid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 PVEC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623BAC7B" w14:textId="77777777" w:rsidTr="00E409E8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031CE9A7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los lineamientos bajo los cuales evaluó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D189F46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00E409E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2D8C86D2" w:rsidR="00CC2AE8" w:rsidRPr="009A0E63" w:rsidRDefault="00CC2AE8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Indique el nivel de aseguramiento alcanzado en la validación 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. </w:t>
            </w:r>
          </w:p>
        </w:tc>
      </w:tr>
      <w:tr w:rsidR="00CC2AE8" w:rsidRPr="009B74D2" w14:paraId="190B14D9" w14:textId="77777777" w:rsidTr="00E24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65EA61BE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 de acreditación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19D578EB" w:rsidR="00670B2A" w:rsidRPr="009A0E63" w:rsidRDefault="00CC2AE8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el período de acreditación validado: de </w:t>
            </w:r>
            <w:proofErr w:type="spellStart"/>
            <w:proofErr w:type="gramStart"/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día.mes.año</w:t>
            </w:r>
            <w:proofErr w:type="spellEnd"/>
            <w:proofErr w:type="gramEnd"/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a </w:t>
            </w:r>
            <w:proofErr w:type="spellStart"/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día.mes.año</w:t>
            </w:r>
            <w:proofErr w:type="spellEnd"/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649416ED" w14:textId="77777777" w:rsidTr="00E409E8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92B902A" w14:textId="6BB4B22D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Reducciones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totales de 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materiales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21A0ED4E" w:rsidR="00670B2A" w:rsidRPr="009A0E63" w:rsidRDefault="00CC2AE8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total</w:t>
            </w:r>
            <w:r w:rsidR="004C7FC4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materiales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por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durante su período de acreditación validado.</w:t>
            </w:r>
          </w:p>
        </w:tc>
      </w:tr>
      <w:tr w:rsidR="008B39EA" w:rsidRPr="009B74D2" w14:paraId="35022421" w14:textId="77777777" w:rsidTr="00E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0406707" w14:textId="0E2467BB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Reducciones 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netas</w:t>
            </w:r>
            <w:r w:rsidRPr="009B74D2">
              <w:rPr>
                <w:rFonts w:ascii="Nunito" w:hAnsi="Nunito"/>
                <w:b/>
                <w:szCs w:val="24"/>
                <w:lang w:val="es-CO"/>
              </w:rPr>
              <w:t xml:space="preserve">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de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materiales: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408A50CF" w:rsidR="008B39EA" w:rsidRPr="009A0E63" w:rsidRDefault="008B39EA" w:rsidP="008B39E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neta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 </w:t>
            </w:r>
            <w:r w:rsidR="004C7FC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de materiales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por el PMEC durante su período de acreditación validado.</w:t>
            </w:r>
          </w:p>
        </w:tc>
      </w:tr>
      <w:tr w:rsidR="008B39EA" w:rsidRPr="009B74D2" w14:paraId="44B40058" w14:textId="77777777" w:rsidTr="00E409E8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195523C1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</w:rPr>
              <w:t>Ubicación</w:t>
            </w: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 xml:space="preserve"> del PMEC</w:t>
            </w:r>
            <w:r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03354D1E" w:rsidR="008B39EA" w:rsidRPr="009A0E63" w:rsidRDefault="008B39EA" w:rsidP="008B39E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iCs/>
                <w:color w:val="CC3668"/>
                <w:sz w:val="24"/>
                <w:szCs w:val="24"/>
                <w:lang w:val="es-CO"/>
              </w:rPr>
              <w:t>Indique la ubicación específica del PMEC.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2C485428" w:rsidR="00DB5728" w:rsidRPr="009B74D2" w:rsidRDefault="00DB5728" w:rsidP="009B74D2">
      <w:pPr>
        <w:spacing w:before="0"/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Se certifica que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“</w:t>
      </w:r>
      <w:r w:rsidR="00BC2F2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escriba el 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nombre del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” anteriormente relacionado se encuentra</w:t>
      </w:r>
      <w:r w:rsidR="00647EFC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validado</w:t>
      </w:r>
      <w:r w:rsidR="00DF1F30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teniendo en cuenta los siguientes parámetros:</w:t>
      </w:r>
    </w:p>
    <w:p w14:paraId="1F194AD6" w14:textId="14447503" w:rsidR="00EC1009" w:rsidRPr="009A0E63" w:rsidRDefault="00771D62" w:rsidP="009B74D2">
      <w:pPr>
        <w:jc w:val="both"/>
        <w:rPr>
          <w:rFonts w:ascii="Nunito" w:hAnsi="Nunito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L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ist</w:t>
      </w:r>
      <w:r w:rsidR="00FC10EF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e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 los parámetros bajo los que se validó 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="00463B1E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2C5BF655" w:rsidR="008475CC" w:rsidRPr="009B74D2" w:rsidRDefault="00EF665C" w:rsidP="009B74D2">
      <w:pPr>
        <w:jc w:val="both"/>
        <w:rPr>
          <w:rFonts w:ascii="Nunito" w:hAnsi="Nunito"/>
          <w:i w:val="0"/>
          <w:iCs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lastRenderedPageBreak/>
        <w:t>E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n la siguiente tabla se discrimina la cantidad de reducci</w:t>
      </w:r>
      <w:r w:rsidR="00B0646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ones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 recirculaciones 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de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materiales </w:t>
      </w:r>
      <w:r w:rsidR="003463C0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proyecta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da por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en el período de acreditación validado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E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CCA768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E3174EE" w14:textId="3A8516F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</w:tcPr>
          <w:p w14:paraId="0A9D2468" w14:textId="03CFCE9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A5F932C" w14:textId="579A284E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F9DC81E" w14:textId="50091698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9B74D2">
      <w:pPr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proofErr w:type="spellStart"/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  <w:proofErr w:type="spellEnd"/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00E244BF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23A7014C" w:rsidR="00510A5B" w:rsidRPr="009B74D2" w:rsidRDefault="009A0E63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3</w:t>
            </w:r>
            <w:r w:rsidR="00510A5B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.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06</w:t>
            </w:r>
            <w:r w:rsidR="00510A5B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.20</w:t>
            </w:r>
            <w:r w:rsidR="009B74D2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bookmarkEnd w:id="1"/>
    </w:tbl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6D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717C" w14:textId="77777777" w:rsidR="003B197B" w:rsidRDefault="003B197B" w:rsidP="008F07DC">
      <w:pPr>
        <w:spacing w:before="0"/>
      </w:pPr>
      <w:r>
        <w:separator/>
      </w:r>
    </w:p>
  </w:endnote>
  <w:endnote w:type="continuationSeparator" w:id="0">
    <w:p w14:paraId="2E43332E" w14:textId="77777777" w:rsidR="003B197B" w:rsidRDefault="003B197B" w:rsidP="008F07DC">
      <w:pPr>
        <w:spacing w:before="0"/>
      </w:pPr>
      <w:r>
        <w:continuationSeparator/>
      </w:r>
    </w:p>
  </w:endnote>
  <w:endnote w:type="continuationNotice" w:id="1">
    <w:p w14:paraId="577F76D9" w14:textId="77777777" w:rsidR="003B197B" w:rsidRDefault="003B19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7668" w14:textId="77777777" w:rsidR="00745CD1" w:rsidRDefault="00745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1279E5" w:rsidRPr="00E0016C" w14:paraId="3F33BA29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3540D82" w14:textId="77777777" w:rsidR="001279E5" w:rsidRPr="006F53B5" w:rsidRDefault="001279E5" w:rsidP="001279E5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A97102A" w14:textId="77777777" w:rsidR="001279E5" w:rsidRPr="00E0016C" w:rsidRDefault="001279E5" w:rsidP="001279E5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5053F03A" w14:textId="77777777" w:rsidR="001279E5" w:rsidRPr="006F53B5" w:rsidRDefault="001279E5" w:rsidP="001279E5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1279E5">
            <w:rPr>
              <w:rFonts w:cstheme="minorHAnsi"/>
              <w:i w:val="0"/>
              <w:iCs/>
              <w:color w:val="auto"/>
            </w:rPr>
            <w:fldChar w:fldCharType="begin"/>
          </w:r>
          <w:r w:rsidRPr="001279E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1279E5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1279E5">
            <w:rPr>
              <w:rFonts w:cstheme="minorHAnsi"/>
              <w:i w:val="0"/>
              <w:iCs/>
              <w:color w:val="auto"/>
            </w:rPr>
            <w:t>1</w:t>
          </w:r>
          <w:r w:rsidRPr="001279E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3E798F9C" w14:textId="77777777" w:rsidR="001279E5" w:rsidRPr="00630FDD" w:rsidRDefault="001279E5" w:rsidP="006D7150">
    <w:pPr>
      <w:pStyle w:val="Footer"/>
      <w:ind w:firstLine="720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A74334" w:rsidRPr="00E0016C" w14:paraId="18A4D9D3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5EB9FB2" w14:textId="5EFFDEC9" w:rsidR="00A74334" w:rsidRPr="006F53B5" w:rsidRDefault="006F53B5" w:rsidP="00A74334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B5A368B" w14:textId="77777777" w:rsidR="00A74334" w:rsidRPr="00E0016C" w:rsidRDefault="00A74334" w:rsidP="00A7433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EEB6C42" w14:textId="77777777" w:rsidR="00A74334" w:rsidRPr="006F53B5" w:rsidRDefault="00A74334" w:rsidP="00A74334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6F53B5"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07452FD3" w14:textId="77777777" w:rsidR="00A74334" w:rsidRPr="006D7150" w:rsidRDefault="00A74334" w:rsidP="00A7433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B779" w14:textId="77777777" w:rsidR="003B197B" w:rsidRDefault="003B197B" w:rsidP="008F07DC">
      <w:pPr>
        <w:spacing w:before="0"/>
      </w:pPr>
      <w:r>
        <w:separator/>
      </w:r>
    </w:p>
  </w:footnote>
  <w:footnote w:type="continuationSeparator" w:id="0">
    <w:p w14:paraId="2802E26E" w14:textId="77777777" w:rsidR="003B197B" w:rsidRDefault="003B197B" w:rsidP="008F07DC">
      <w:pPr>
        <w:spacing w:before="0"/>
      </w:pPr>
      <w:r>
        <w:continuationSeparator/>
      </w:r>
    </w:p>
  </w:footnote>
  <w:footnote w:type="continuationNotice" w:id="1">
    <w:p w14:paraId="75D45C91" w14:textId="77777777" w:rsidR="003B197B" w:rsidRDefault="003B197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120D" w14:textId="77777777" w:rsidR="00745CD1" w:rsidRDefault="00745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003A7E5C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1D404015" w:rsidR="00E409E8" w:rsidRPr="009A0E63" w:rsidRDefault="00E409E8" w:rsidP="00E409E8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745CD1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pcional, logo del desarrollador del PMEC) </w:t>
          </w:r>
        </w:p>
      </w:tc>
      <w:tc>
        <w:tcPr>
          <w:tcW w:w="4524" w:type="dxa"/>
          <w:vAlign w:val="bottom"/>
        </w:tcPr>
        <w:p w14:paraId="0133782C" w14:textId="77777777" w:rsidR="00E409E8" w:rsidRPr="009A0E63" w:rsidRDefault="00E409E8" w:rsidP="00E409E8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Reemplazar por nombre del PMEC,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009B74D2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77E34274" w:rsidR="00B16376" w:rsidRPr="009A0E63" w:rsidRDefault="00B16376" w:rsidP="00B16376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745CD1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pcional, logo del desarrollador del PM</w:t>
          </w:r>
          <w:r w:rsidR="009B74D2" w:rsidRPr="009A0E63">
            <w:rPr>
              <w:rFonts w:ascii="Nunito" w:hAnsi="Nunito"/>
              <w:i w:val="0"/>
              <w:iCs/>
              <w:color w:val="CC3668"/>
              <w:lang w:eastAsia="en-US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C) </w:t>
          </w:r>
        </w:p>
      </w:tc>
      <w:tc>
        <w:tcPr>
          <w:tcW w:w="4524" w:type="dxa"/>
          <w:vAlign w:val="bottom"/>
        </w:tcPr>
        <w:p w14:paraId="42E4EEDA" w14:textId="58FB3162" w:rsidR="00B16376" w:rsidRPr="009A0E63" w:rsidRDefault="00B16376" w:rsidP="00B16376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Reemplazar por nombre del PM</w:t>
          </w:r>
          <w:r w:rsidR="009B74D2"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mODWgAQF774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1CB3"/>
    <w:rsid w:val="00052840"/>
    <w:rsid w:val="00052EE9"/>
    <w:rsid w:val="00054172"/>
    <w:rsid w:val="00055D0B"/>
    <w:rsid w:val="00057EA4"/>
    <w:rsid w:val="00073656"/>
    <w:rsid w:val="0008789D"/>
    <w:rsid w:val="00092366"/>
    <w:rsid w:val="0009340A"/>
    <w:rsid w:val="000951F9"/>
    <w:rsid w:val="000A4B17"/>
    <w:rsid w:val="000A5111"/>
    <w:rsid w:val="000A6BF0"/>
    <w:rsid w:val="000A7663"/>
    <w:rsid w:val="000C7E24"/>
    <w:rsid w:val="000D080F"/>
    <w:rsid w:val="000D0B72"/>
    <w:rsid w:val="000E1668"/>
    <w:rsid w:val="000E4C03"/>
    <w:rsid w:val="000F3A3B"/>
    <w:rsid w:val="000F44A5"/>
    <w:rsid w:val="000F592A"/>
    <w:rsid w:val="00100049"/>
    <w:rsid w:val="00102607"/>
    <w:rsid w:val="001034D9"/>
    <w:rsid w:val="00120904"/>
    <w:rsid w:val="00121DDE"/>
    <w:rsid w:val="001279E5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00F8"/>
    <w:rsid w:val="00201C4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680C"/>
    <w:rsid w:val="00300683"/>
    <w:rsid w:val="00300791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463C0"/>
    <w:rsid w:val="00351B59"/>
    <w:rsid w:val="003573D6"/>
    <w:rsid w:val="00357D6C"/>
    <w:rsid w:val="00357E27"/>
    <w:rsid w:val="00360D83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B197B"/>
    <w:rsid w:val="003C3010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F0359"/>
    <w:rsid w:val="003F72E9"/>
    <w:rsid w:val="00402B9A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8B8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19D1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DF7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0FDD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1B19"/>
    <w:rsid w:val="00675C7D"/>
    <w:rsid w:val="006822C0"/>
    <w:rsid w:val="00684593"/>
    <w:rsid w:val="00684862"/>
    <w:rsid w:val="00685961"/>
    <w:rsid w:val="0068645A"/>
    <w:rsid w:val="00695CA5"/>
    <w:rsid w:val="006972CC"/>
    <w:rsid w:val="006A005C"/>
    <w:rsid w:val="006A141D"/>
    <w:rsid w:val="006A3CE7"/>
    <w:rsid w:val="006A4E01"/>
    <w:rsid w:val="006A79D3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D7150"/>
    <w:rsid w:val="006E48F3"/>
    <w:rsid w:val="006E5470"/>
    <w:rsid w:val="006E7859"/>
    <w:rsid w:val="006E7A6C"/>
    <w:rsid w:val="006F2F63"/>
    <w:rsid w:val="006F3CA7"/>
    <w:rsid w:val="006F53B5"/>
    <w:rsid w:val="007064F5"/>
    <w:rsid w:val="0071192D"/>
    <w:rsid w:val="00711C06"/>
    <w:rsid w:val="00713BD2"/>
    <w:rsid w:val="00720682"/>
    <w:rsid w:val="007212C3"/>
    <w:rsid w:val="00725B37"/>
    <w:rsid w:val="00727E73"/>
    <w:rsid w:val="00734EE9"/>
    <w:rsid w:val="0073583A"/>
    <w:rsid w:val="00740C8B"/>
    <w:rsid w:val="00741EC1"/>
    <w:rsid w:val="00745CD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3D86"/>
    <w:rsid w:val="007D6FB6"/>
    <w:rsid w:val="007E1EF3"/>
    <w:rsid w:val="007E35BE"/>
    <w:rsid w:val="007E434A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2EE8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7D29"/>
    <w:rsid w:val="00970719"/>
    <w:rsid w:val="0098135F"/>
    <w:rsid w:val="00981F9A"/>
    <w:rsid w:val="009835D1"/>
    <w:rsid w:val="00993A27"/>
    <w:rsid w:val="009A0E63"/>
    <w:rsid w:val="009A1B96"/>
    <w:rsid w:val="009A24F1"/>
    <w:rsid w:val="009B3563"/>
    <w:rsid w:val="009B74D2"/>
    <w:rsid w:val="009B7FA3"/>
    <w:rsid w:val="009C13D1"/>
    <w:rsid w:val="009C447E"/>
    <w:rsid w:val="009C5E03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74334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0AC0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553EC"/>
    <w:rsid w:val="00B60DDE"/>
    <w:rsid w:val="00B6409B"/>
    <w:rsid w:val="00B64A71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F6601"/>
    <w:rsid w:val="00C0014D"/>
    <w:rsid w:val="00C00EAE"/>
    <w:rsid w:val="00C032F0"/>
    <w:rsid w:val="00C12F60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A3170"/>
    <w:rsid w:val="00CA5466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50C5"/>
    <w:rsid w:val="00D96AF9"/>
    <w:rsid w:val="00DA02BB"/>
    <w:rsid w:val="00DA46E5"/>
    <w:rsid w:val="00DA5F08"/>
    <w:rsid w:val="00DB1041"/>
    <w:rsid w:val="00DB5728"/>
    <w:rsid w:val="00DB7B04"/>
    <w:rsid w:val="00DC0B45"/>
    <w:rsid w:val="00DC77F1"/>
    <w:rsid w:val="00DD04E4"/>
    <w:rsid w:val="00DD12A8"/>
    <w:rsid w:val="00DD3892"/>
    <w:rsid w:val="00DD5894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1229E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5EF1"/>
    <w:rsid w:val="00E960A9"/>
    <w:rsid w:val="00EA2268"/>
    <w:rsid w:val="00EB30BD"/>
    <w:rsid w:val="00EB60C3"/>
    <w:rsid w:val="00EC1009"/>
    <w:rsid w:val="00EC210B"/>
    <w:rsid w:val="00EC5E1B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203C8"/>
    <w:rsid w:val="00F23372"/>
    <w:rsid w:val="00F2789A"/>
    <w:rsid w:val="00F33AEF"/>
    <w:rsid w:val="00F3421F"/>
    <w:rsid w:val="00F36AAD"/>
    <w:rsid w:val="00F4109C"/>
    <w:rsid w:val="00F450AC"/>
    <w:rsid w:val="00F52C21"/>
    <w:rsid w:val="00F56B30"/>
    <w:rsid w:val="00F64881"/>
    <w:rsid w:val="00F70D37"/>
    <w:rsid w:val="00F7332B"/>
    <w:rsid w:val="00F74548"/>
    <w:rsid w:val="00F74ED5"/>
    <w:rsid w:val="00F76379"/>
    <w:rsid w:val="00F831CC"/>
    <w:rsid w:val="00F86FB6"/>
    <w:rsid w:val="00F87225"/>
    <w:rsid w:val="00F91A78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792"/>
    <w:rsid w:val="00FC7E6E"/>
    <w:rsid w:val="00FD01C0"/>
    <w:rsid w:val="00FD65A0"/>
    <w:rsid w:val="00FE04DA"/>
    <w:rsid w:val="00FE4B6A"/>
    <w:rsid w:val="00FE65FA"/>
    <w:rsid w:val="00FF47B5"/>
    <w:rsid w:val="2DE2CFAF"/>
    <w:rsid w:val="482DFF30"/>
    <w:rsid w:val="48AD25E0"/>
    <w:rsid w:val="5A1D6BEF"/>
    <w:rsid w:val="5B110B3B"/>
    <w:rsid w:val="5B4DB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106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PROTOCOLO DEL PROCESO DE CERTIFICACIÓN DE CERCARBONO (emisión de créditos DE CARBONO Y Registro)</vt:lpstr>
      <vt:lpstr>PROTOCOLO DEL PROCESO DE CERTIFICACIÓN DE CERCARBONO (emisión de créditos DE CARBONO Y Registro)</vt:lpstr>
    </vt:vector>
  </TitlesOfParts>
  <Company>DOCUMENTO ELABORADO POR: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Valdés</cp:lastModifiedBy>
  <cp:revision>39</cp:revision>
  <dcterms:created xsi:type="dcterms:W3CDTF">2022-11-14T21:05:00Z</dcterms:created>
  <dcterms:modified xsi:type="dcterms:W3CDTF">2023-06-21T19:14:00Z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